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24" w:rsidRPr="00D97C24" w:rsidRDefault="00D97C24" w:rsidP="00FC75F7">
      <w:pPr>
        <w:spacing w:before="450" w:after="300" w:line="570" w:lineRule="atLeast"/>
        <w:jc w:val="both"/>
        <w:outlineLvl w:val="1"/>
        <w:rPr>
          <w:rFonts w:ascii="Times New Roman" w:eastAsia="Times New Roman" w:hAnsi="Times New Roman" w:cs="Times New Roman"/>
          <w:color w:val="111111"/>
          <w:sz w:val="24"/>
          <w:szCs w:val="24"/>
          <w:lang w:eastAsia="it-IT"/>
        </w:rPr>
      </w:pPr>
      <w:bookmarkStart w:id="0" w:name="_GoBack"/>
      <w:bookmarkEnd w:id="0"/>
      <w:r w:rsidRPr="00FC75F7">
        <w:rPr>
          <w:rFonts w:ascii="Times New Roman" w:eastAsia="Times New Roman" w:hAnsi="Times New Roman" w:cs="Times New Roman"/>
          <w:b/>
          <w:bCs/>
          <w:color w:val="111111"/>
          <w:sz w:val="24"/>
          <w:szCs w:val="24"/>
          <w:lang w:eastAsia="it-IT"/>
        </w:rPr>
        <w:t>Causa in concreto</w:t>
      </w:r>
    </w:p>
    <w:p w:rsidR="00D97C24" w:rsidRPr="00FC75F7"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D97C24">
        <w:rPr>
          <w:rFonts w:ascii="Times New Roman" w:eastAsia="Times New Roman" w:hAnsi="Times New Roman" w:cs="Times New Roman"/>
          <w:color w:val="000000"/>
          <w:sz w:val="24"/>
          <w:szCs w:val="24"/>
          <w:lang w:eastAsia="it-IT"/>
        </w:rPr>
        <w:t>Ai sensi dell’art. 1325 c.c. la causa, insieme ad accordo, oggetto e forma, laddove prescritta a pena di nullità, costituisce elemento essenziale del contratto, la cui mancanza dà luogo a nullità strutturale </w:t>
      </w:r>
      <w:r w:rsidRPr="00FC75F7">
        <w:rPr>
          <w:rFonts w:ascii="Times New Roman" w:eastAsia="Times New Roman" w:hAnsi="Times New Roman" w:cs="Times New Roman"/>
          <w:i/>
          <w:iCs/>
          <w:color w:val="000000"/>
          <w:sz w:val="24"/>
          <w:szCs w:val="24"/>
          <w:lang w:eastAsia="it-IT"/>
        </w:rPr>
        <w:t>ex</w:t>
      </w:r>
      <w:r w:rsidRPr="00D97C24">
        <w:rPr>
          <w:rFonts w:ascii="Times New Roman" w:eastAsia="Times New Roman" w:hAnsi="Times New Roman" w:cs="Times New Roman"/>
          <w:color w:val="000000"/>
          <w:sz w:val="24"/>
          <w:szCs w:val="24"/>
          <w:lang w:eastAsia="it-IT"/>
        </w:rPr>
        <w:t> art. 1418 comma 2 c.c.</w:t>
      </w:r>
      <w:r w:rsidRPr="00FC75F7">
        <w:rPr>
          <w:rFonts w:ascii="Times New Roman" w:eastAsia="Times New Roman" w:hAnsi="Times New Roman" w:cs="Times New Roman"/>
          <w:color w:val="000000"/>
          <w:sz w:val="24"/>
          <w:szCs w:val="24"/>
          <w:lang w:eastAsia="it-IT"/>
        </w:rPr>
        <w:t xml:space="preserve"> Prevale</w:t>
      </w:r>
      <w:r w:rsidRPr="00D97C24">
        <w:rPr>
          <w:rFonts w:ascii="Times New Roman" w:eastAsia="Times New Roman" w:hAnsi="Times New Roman" w:cs="Times New Roman"/>
          <w:color w:val="000000"/>
          <w:sz w:val="24"/>
          <w:szCs w:val="24"/>
          <w:lang w:eastAsia="it-IT"/>
        </w:rPr>
        <w:t xml:space="preserve"> il principio della </w:t>
      </w:r>
      <w:r w:rsidRPr="00FC75F7">
        <w:rPr>
          <w:rFonts w:ascii="Times New Roman" w:eastAsia="Times New Roman" w:hAnsi="Times New Roman" w:cs="Times New Roman"/>
          <w:i/>
          <w:iCs/>
          <w:color w:val="000000"/>
          <w:sz w:val="24"/>
          <w:szCs w:val="24"/>
          <w:lang w:eastAsia="it-IT"/>
        </w:rPr>
        <w:t>expressio causae</w:t>
      </w:r>
      <w:r w:rsidRPr="00D97C24">
        <w:rPr>
          <w:rFonts w:ascii="Times New Roman" w:eastAsia="Times New Roman" w:hAnsi="Times New Roman" w:cs="Times New Roman"/>
          <w:color w:val="000000"/>
          <w:sz w:val="24"/>
          <w:szCs w:val="24"/>
          <w:lang w:eastAsia="it-IT"/>
        </w:rPr>
        <w:t>, per cui è necessario che la causa sia esplicitamente enunciata, non essendo sufficiente che le parti la traggano da elementi estranei al contratto</w:t>
      </w:r>
      <w:r w:rsidRPr="00FC75F7">
        <w:rPr>
          <w:rFonts w:ascii="Times New Roman" w:eastAsia="Times New Roman" w:hAnsi="Times New Roman" w:cs="Times New Roman"/>
          <w:color w:val="000000"/>
          <w:sz w:val="24"/>
          <w:szCs w:val="24"/>
          <w:lang w:eastAsia="it-IT"/>
        </w:rPr>
        <w:t xml:space="preserve"> Le</w:t>
      </w:r>
      <w:r w:rsidRPr="00D97C24">
        <w:rPr>
          <w:rFonts w:ascii="Times New Roman" w:eastAsia="Times New Roman" w:hAnsi="Times New Roman" w:cs="Times New Roman"/>
          <w:color w:val="000000"/>
          <w:sz w:val="24"/>
          <w:szCs w:val="24"/>
          <w:lang w:eastAsia="it-IT"/>
        </w:rPr>
        <w:t xml:space="preserve"> parti sono libere di stipulare, oltre </w:t>
      </w:r>
      <w:r w:rsidRPr="00FC75F7">
        <w:rPr>
          <w:rFonts w:ascii="Times New Roman" w:eastAsia="Times New Roman" w:hAnsi="Times New Roman" w:cs="Times New Roman"/>
          <w:color w:val="000000"/>
          <w:sz w:val="24"/>
          <w:szCs w:val="24"/>
          <w:lang w:eastAsia="it-IT"/>
        </w:rPr>
        <w:t>a</w:t>
      </w:r>
      <w:r w:rsidRPr="00D97C24">
        <w:rPr>
          <w:rFonts w:ascii="Times New Roman" w:eastAsia="Times New Roman" w:hAnsi="Times New Roman" w:cs="Times New Roman"/>
          <w:color w:val="000000"/>
          <w:sz w:val="24"/>
          <w:szCs w:val="24"/>
          <w:lang w:eastAsia="it-IT"/>
        </w:rPr>
        <w:t xml:space="preserve"> contratti tipici, anche contratti atipici o innominati, purché perseguano interessi meritevoli di tutela secondo l’ordinamento giuridico (art. 1322 comma 2 c.c.)</w:t>
      </w:r>
      <w:r w:rsidRPr="00FC75F7">
        <w:rPr>
          <w:rFonts w:ascii="Times New Roman" w:eastAsia="Times New Roman" w:hAnsi="Times New Roman" w:cs="Times New Roman"/>
          <w:color w:val="000000"/>
          <w:sz w:val="24"/>
          <w:szCs w:val="24"/>
          <w:lang w:eastAsia="it-IT"/>
        </w:rPr>
        <w:t>.</w:t>
      </w:r>
      <w:r w:rsidRPr="00D97C24">
        <w:rPr>
          <w:rFonts w:ascii="Times New Roman" w:eastAsia="Times New Roman" w:hAnsi="Times New Roman" w:cs="Times New Roman"/>
          <w:color w:val="000000"/>
          <w:sz w:val="24"/>
          <w:szCs w:val="24"/>
          <w:lang w:eastAsia="it-IT"/>
        </w:rPr>
        <w:t xml:space="preserve"> </w:t>
      </w:r>
    </w:p>
    <w:p w:rsidR="00D97C24" w:rsidRPr="00D97C24"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D97C24">
        <w:rPr>
          <w:rFonts w:ascii="Times New Roman" w:eastAsia="Times New Roman" w:hAnsi="Times New Roman" w:cs="Times New Roman"/>
          <w:color w:val="000000"/>
          <w:sz w:val="24"/>
          <w:szCs w:val="24"/>
          <w:lang w:eastAsia="it-IT"/>
        </w:rPr>
        <w:t xml:space="preserve">Dalla </w:t>
      </w:r>
      <w:r w:rsidRPr="00FC75F7">
        <w:rPr>
          <w:rFonts w:ascii="Times New Roman" w:eastAsia="Times New Roman" w:hAnsi="Times New Roman" w:cs="Times New Roman"/>
          <w:color w:val="000000"/>
          <w:sz w:val="24"/>
          <w:szCs w:val="24"/>
          <w:lang w:eastAsia="it-IT"/>
        </w:rPr>
        <w:t xml:space="preserve">necessità della causa </w:t>
      </w:r>
      <w:r w:rsidRPr="00D97C24">
        <w:rPr>
          <w:rFonts w:ascii="Times New Roman" w:eastAsia="Times New Roman" w:hAnsi="Times New Roman" w:cs="Times New Roman"/>
          <w:color w:val="000000"/>
          <w:sz w:val="24"/>
          <w:szCs w:val="24"/>
          <w:lang w:eastAsia="it-IT"/>
        </w:rPr>
        <w:t xml:space="preserve">deriva l’inammissibilità dei c.d. negozi astratti, che prescindono del tutto dalla causa. Esclusa l’astrazione sostanziale della causa, sono invece ammesse </w:t>
      </w:r>
      <w:r w:rsidRPr="00FC75F7">
        <w:rPr>
          <w:rFonts w:ascii="Times New Roman" w:eastAsia="Times New Roman" w:hAnsi="Times New Roman" w:cs="Times New Roman"/>
          <w:color w:val="000000"/>
          <w:sz w:val="24"/>
          <w:szCs w:val="24"/>
          <w:lang w:eastAsia="it-IT"/>
        </w:rPr>
        <w:t>limitate</w:t>
      </w:r>
      <w:r w:rsidRPr="00D97C24">
        <w:rPr>
          <w:rFonts w:ascii="Times New Roman" w:eastAsia="Times New Roman" w:hAnsi="Times New Roman" w:cs="Times New Roman"/>
          <w:color w:val="000000"/>
          <w:sz w:val="24"/>
          <w:szCs w:val="24"/>
          <w:lang w:eastAsia="it-IT"/>
        </w:rPr>
        <w:t xml:space="preserve"> ipotesi di astrazione processuale, che danno </w:t>
      </w:r>
      <w:r w:rsidRPr="00FC75F7">
        <w:rPr>
          <w:rFonts w:ascii="Times New Roman" w:eastAsia="Times New Roman" w:hAnsi="Times New Roman" w:cs="Times New Roman"/>
          <w:color w:val="000000"/>
          <w:sz w:val="24"/>
          <w:szCs w:val="24"/>
          <w:lang w:eastAsia="it-IT"/>
        </w:rPr>
        <w:t xml:space="preserve">soltanto </w:t>
      </w:r>
      <w:r w:rsidRPr="00D97C24">
        <w:rPr>
          <w:rFonts w:ascii="Times New Roman" w:eastAsia="Times New Roman" w:hAnsi="Times New Roman" w:cs="Times New Roman"/>
          <w:color w:val="000000"/>
          <w:sz w:val="24"/>
          <w:szCs w:val="24"/>
          <w:lang w:eastAsia="it-IT"/>
        </w:rPr>
        <w:t>luogo ad un’inversione dell’onere della prova. In particolare, l’art. 1988 c.c. dispone che, in caso di promessa di pagamento o di ricognizione di debito, il rapporto fondamentale non deve essere provato dal creditore, secondo la regola generale di cui all’art. 2697 c.c., ma la sua esistenza si presume fino a prova contraria, spettando allora al debitore la prova dell’inesistenza.</w:t>
      </w:r>
    </w:p>
    <w:p w:rsidR="00D97C24" w:rsidRPr="00D97C24"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FC75F7">
        <w:rPr>
          <w:rFonts w:ascii="Times New Roman" w:eastAsia="Times New Roman" w:hAnsi="Times New Roman" w:cs="Times New Roman"/>
          <w:color w:val="000000"/>
          <w:sz w:val="24"/>
          <w:szCs w:val="24"/>
          <w:lang w:eastAsia="it-IT"/>
        </w:rPr>
        <w:t>Il</w:t>
      </w:r>
      <w:r w:rsidRPr="00D97C24">
        <w:rPr>
          <w:rFonts w:ascii="Times New Roman" w:eastAsia="Times New Roman" w:hAnsi="Times New Roman" w:cs="Times New Roman"/>
          <w:color w:val="000000"/>
          <w:sz w:val="24"/>
          <w:szCs w:val="24"/>
          <w:lang w:eastAsia="it-IT"/>
        </w:rPr>
        <w:t xml:space="preserve"> sistema tedesco non contempla la causa quale elemento essenziale del contratto e sancisce la regola generale della vincolatività della proposta</w:t>
      </w:r>
      <w:r w:rsidRPr="00FC75F7">
        <w:rPr>
          <w:rFonts w:ascii="Times New Roman" w:eastAsia="Times New Roman" w:hAnsi="Times New Roman" w:cs="Times New Roman"/>
          <w:color w:val="000000"/>
          <w:sz w:val="24"/>
          <w:szCs w:val="24"/>
          <w:lang w:eastAsia="it-IT"/>
        </w:rPr>
        <w:t xml:space="preserve"> nuda. </w:t>
      </w:r>
      <w:r w:rsidRPr="00D97C24">
        <w:rPr>
          <w:rFonts w:ascii="Times New Roman" w:eastAsia="Times New Roman" w:hAnsi="Times New Roman" w:cs="Times New Roman"/>
          <w:color w:val="000000"/>
          <w:sz w:val="24"/>
          <w:szCs w:val="24"/>
          <w:lang w:eastAsia="it-IT"/>
        </w:rPr>
        <w:t>In realtà la causa non è del tutto estranea neppure all’ordinamento tedesco, come emerge dal modo di trasferimento della proprietà</w:t>
      </w:r>
      <w:r w:rsidRPr="00FC75F7">
        <w:rPr>
          <w:rFonts w:ascii="Times New Roman" w:eastAsia="Times New Roman" w:hAnsi="Times New Roman" w:cs="Times New Roman"/>
          <w:color w:val="000000"/>
          <w:sz w:val="24"/>
          <w:szCs w:val="24"/>
          <w:lang w:eastAsia="it-IT"/>
        </w:rPr>
        <w:t xml:space="preserve">. </w:t>
      </w:r>
      <w:r w:rsidRPr="00D97C24">
        <w:rPr>
          <w:rFonts w:ascii="Times New Roman" w:eastAsia="Times New Roman" w:hAnsi="Times New Roman" w:cs="Times New Roman"/>
          <w:color w:val="000000"/>
          <w:sz w:val="24"/>
          <w:szCs w:val="24"/>
          <w:lang w:eastAsia="it-IT"/>
        </w:rPr>
        <w:t>Si possono dunque distinguere due negozi: il primo, di natura obbligatoria (</w:t>
      </w:r>
      <w:r w:rsidRPr="00FC75F7">
        <w:rPr>
          <w:rFonts w:ascii="Times New Roman" w:eastAsia="Times New Roman" w:hAnsi="Times New Roman" w:cs="Times New Roman"/>
          <w:i/>
          <w:iCs/>
          <w:color w:val="000000"/>
          <w:sz w:val="24"/>
          <w:szCs w:val="24"/>
          <w:lang w:eastAsia="it-IT"/>
        </w:rPr>
        <w:t>titulus</w:t>
      </w:r>
      <w:r w:rsidRPr="00D97C24">
        <w:rPr>
          <w:rFonts w:ascii="Times New Roman" w:eastAsia="Times New Roman" w:hAnsi="Times New Roman" w:cs="Times New Roman"/>
          <w:color w:val="000000"/>
          <w:sz w:val="24"/>
          <w:szCs w:val="24"/>
          <w:lang w:eastAsia="it-IT"/>
        </w:rPr>
        <w:t>), è il contratto di compravendita, con cui si programma l’effetto reale del passaggio di proprietà, che è però prodotto dal secondo (</w:t>
      </w:r>
      <w:r w:rsidRPr="00FC75F7">
        <w:rPr>
          <w:rFonts w:ascii="Times New Roman" w:eastAsia="Times New Roman" w:hAnsi="Times New Roman" w:cs="Times New Roman"/>
          <w:i/>
          <w:iCs/>
          <w:color w:val="000000"/>
          <w:sz w:val="24"/>
          <w:szCs w:val="24"/>
          <w:lang w:eastAsia="it-IT"/>
        </w:rPr>
        <w:t>modus</w:t>
      </w:r>
      <w:r w:rsidRPr="00D97C24">
        <w:rPr>
          <w:rFonts w:ascii="Times New Roman" w:eastAsia="Times New Roman" w:hAnsi="Times New Roman" w:cs="Times New Roman"/>
          <w:color w:val="000000"/>
          <w:sz w:val="24"/>
          <w:szCs w:val="24"/>
          <w:lang w:eastAsia="it-IT"/>
        </w:rPr>
        <w:t>).  Mentre il </w:t>
      </w:r>
      <w:r w:rsidRPr="00FC75F7">
        <w:rPr>
          <w:rFonts w:ascii="Times New Roman" w:eastAsia="Times New Roman" w:hAnsi="Times New Roman" w:cs="Times New Roman"/>
          <w:i/>
          <w:iCs/>
          <w:color w:val="000000"/>
          <w:sz w:val="24"/>
          <w:szCs w:val="24"/>
          <w:lang w:eastAsia="it-IT"/>
        </w:rPr>
        <w:t>modus</w:t>
      </w:r>
      <w:r w:rsidRPr="00D97C24">
        <w:rPr>
          <w:rFonts w:ascii="Times New Roman" w:eastAsia="Times New Roman" w:hAnsi="Times New Roman" w:cs="Times New Roman"/>
          <w:color w:val="000000"/>
          <w:sz w:val="24"/>
          <w:szCs w:val="24"/>
          <w:lang w:eastAsia="it-IT"/>
        </w:rPr>
        <w:t> è atto completamente astratto, il </w:t>
      </w:r>
      <w:r w:rsidRPr="00FC75F7">
        <w:rPr>
          <w:rFonts w:ascii="Times New Roman" w:eastAsia="Times New Roman" w:hAnsi="Times New Roman" w:cs="Times New Roman"/>
          <w:i/>
          <w:iCs/>
          <w:color w:val="000000"/>
          <w:sz w:val="24"/>
          <w:szCs w:val="24"/>
          <w:lang w:eastAsia="it-IT"/>
        </w:rPr>
        <w:t>titulus</w:t>
      </w:r>
      <w:r w:rsidRPr="00D97C24">
        <w:rPr>
          <w:rFonts w:ascii="Times New Roman" w:eastAsia="Times New Roman" w:hAnsi="Times New Roman" w:cs="Times New Roman"/>
          <w:color w:val="000000"/>
          <w:sz w:val="24"/>
          <w:szCs w:val="24"/>
          <w:lang w:eastAsia="it-IT"/>
        </w:rPr>
        <w:t xml:space="preserve"> è causale, a dimostrazione del fatto che anche il BGB conosce la causa. </w:t>
      </w:r>
    </w:p>
    <w:p w:rsidR="00D97C24" w:rsidRPr="00D97C24"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D97C24">
        <w:rPr>
          <w:rFonts w:ascii="Times New Roman" w:eastAsia="Times New Roman" w:hAnsi="Times New Roman" w:cs="Times New Roman"/>
          <w:color w:val="000000"/>
          <w:sz w:val="24"/>
          <w:szCs w:val="24"/>
          <w:lang w:eastAsia="it-IT"/>
        </w:rPr>
        <w:t>Il diritto romano classico non prevedeva la causa come elemento costitutivo del negozio, poiché la validità dello stesso dipendeva dalla sua corrispondenza ai modelli formali o sostanziali previsti dall’ordinamento. Fu la dottrina canonistica a collegare la vincolatività della promessa all’elemento causale, sancendo il principio </w:t>
      </w:r>
      <w:r w:rsidRPr="00FC75F7">
        <w:rPr>
          <w:rFonts w:ascii="Times New Roman" w:eastAsia="Times New Roman" w:hAnsi="Times New Roman" w:cs="Times New Roman"/>
          <w:i/>
          <w:iCs/>
          <w:color w:val="000000"/>
          <w:sz w:val="24"/>
          <w:szCs w:val="24"/>
          <w:lang w:eastAsia="it-IT"/>
        </w:rPr>
        <w:t>ex nudo pacto oritur actio</w:t>
      </w:r>
      <w:r w:rsidRPr="00D97C24">
        <w:rPr>
          <w:rFonts w:ascii="Times New Roman" w:eastAsia="Times New Roman" w:hAnsi="Times New Roman" w:cs="Times New Roman"/>
          <w:color w:val="000000"/>
          <w:sz w:val="24"/>
          <w:szCs w:val="24"/>
          <w:lang w:eastAsia="it-IT"/>
        </w:rPr>
        <w:t>, per cui, a prescindere da un formale </w:t>
      </w:r>
      <w:r w:rsidRPr="00FC75F7">
        <w:rPr>
          <w:rFonts w:ascii="Times New Roman" w:eastAsia="Times New Roman" w:hAnsi="Times New Roman" w:cs="Times New Roman"/>
          <w:i/>
          <w:iCs/>
          <w:color w:val="000000"/>
          <w:sz w:val="24"/>
          <w:szCs w:val="24"/>
          <w:lang w:eastAsia="it-IT"/>
        </w:rPr>
        <w:t>vestimentum</w:t>
      </w:r>
      <w:r w:rsidRPr="00D97C24">
        <w:rPr>
          <w:rFonts w:ascii="Times New Roman" w:eastAsia="Times New Roman" w:hAnsi="Times New Roman" w:cs="Times New Roman"/>
          <w:color w:val="000000"/>
          <w:sz w:val="24"/>
          <w:szCs w:val="24"/>
          <w:lang w:eastAsia="it-IT"/>
        </w:rPr>
        <w:t>, la promessa è vincolante in quanto sorretta da una causa giustificatrice. Tale impostazione, approfondita da </w:t>
      </w:r>
      <w:r w:rsidRPr="00FC75F7">
        <w:rPr>
          <w:rFonts w:ascii="Times New Roman" w:eastAsia="Times New Roman" w:hAnsi="Times New Roman" w:cs="Times New Roman"/>
          <w:i/>
          <w:iCs/>
          <w:color w:val="000000"/>
          <w:sz w:val="24"/>
          <w:szCs w:val="24"/>
          <w:lang w:eastAsia="it-IT"/>
        </w:rPr>
        <w:t>Domat</w:t>
      </w:r>
      <w:r w:rsidRPr="00D97C24">
        <w:rPr>
          <w:rFonts w:ascii="Times New Roman" w:eastAsia="Times New Roman" w:hAnsi="Times New Roman" w:cs="Times New Roman"/>
          <w:color w:val="000000"/>
          <w:sz w:val="24"/>
          <w:szCs w:val="24"/>
          <w:lang w:eastAsia="it-IT"/>
        </w:rPr>
        <w:t> e </w:t>
      </w:r>
      <w:r w:rsidRPr="00FC75F7">
        <w:rPr>
          <w:rFonts w:ascii="Times New Roman" w:eastAsia="Times New Roman" w:hAnsi="Times New Roman" w:cs="Times New Roman"/>
          <w:i/>
          <w:iCs/>
          <w:color w:val="000000"/>
          <w:sz w:val="24"/>
          <w:szCs w:val="24"/>
          <w:lang w:eastAsia="it-IT"/>
        </w:rPr>
        <w:t>Pothier</w:t>
      </w:r>
      <w:r w:rsidRPr="00D97C24">
        <w:rPr>
          <w:rFonts w:ascii="Times New Roman" w:eastAsia="Times New Roman" w:hAnsi="Times New Roman" w:cs="Times New Roman"/>
          <w:color w:val="000000"/>
          <w:sz w:val="24"/>
          <w:szCs w:val="24"/>
          <w:lang w:eastAsia="it-IT"/>
        </w:rPr>
        <w:t> nella teoria analitica della causa, fu ripresa dal </w:t>
      </w:r>
      <w:r w:rsidRPr="00FC75F7">
        <w:rPr>
          <w:rFonts w:ascii="Times New Roman" w:eastAsia="Times New Roman" w:hAnsi="Times New Roman" w:cs="Times New Roman"/>
          <w:i/>
          <w:iCs/>
          <w:color w:val="000000"/>
          <w:sz w:val="24"/>
          <w:szCs w:val="24"/>
          <w:lang w:eastAsia="it-IT"/>
        </w:rPr>
        <w:t>Code Civil</w:t>
      </w:r>
      <w:r w:rsidRPr="00D97C24">
        <w:rPr>
          <w:rFonts w:ascii="Times New Roman" w:eastAsia="Times New Roman" w:hAnsi="Times New Roman" w:cs="Times New Roman"/>
          <w:color w:val="000000"/>
          <w:sz w:val="24"/>
          <w:szCs w:val="24"/>
          <w:lang w:eastAsia="it-IT"/>
        </w:rPr>
        <w:t> e, quindi, dal codice Pisanelli del 1865, secondo il quale, requisito essenziale ai fini della validità del contratto, era “una causa lecita per obbligarsi” (art. 1104 ult.)</w:t>
      </w:r>
      <w:r w:rsidR="00FC75F7" w:rsidRPr="00FC75F7">
        <w:rPr>
          <w:rFonts w:ascii="Times New Roman" w:eastAsia="Times New Roman" w:hAnsi="Times New Roman" w:cs="Times New Roman"/>
          <w:color w:val="000000"/>
          <w:sz w:val="24"/>
          <w:szCs w:val="24"/>
          <w:lang w:eastAsia="it-IT"/>
        </w:rPr>
        <w:t xml:space="preserve">. </w:t>
      </w:r>
      <w:r w:rsidRPr="00D97C24">
        <w:rPr>
          <w:rFonts w:ascii="Times New Roman" w:eastAsia="Times New Roman" w:hAnsi="Times New Roman" w:cs="Times New Roman"/>
          <w:color w:val="000000"/>
          <w:sz w:val="24"/>
          <w:szCs w:val="24"/>
          <w:lang w:eastAsia="it-IT"/>
        </w:rPr>
        <w:t>La natura della causa fu oggetto di dibattito tra i sostenitori della teoria oggettiva classica, per cui la causa sarebbe consistita nella controprestazione, e i fautori di quella soggettiva, per i quali si sarebbe trattato dello scopo perseguito dalla parte che ha assunto l’obbligazione, motivo ultimo entrato nel contratto e perciò distinto rispetto al motivo meramente personale.</w:t>
      </w:r>
      <w:r w:rsidR="00FC75F7" w:rsidRPr="00FC75F7">
        <w:rPr>
          <w:rFonts w:ascii="Times New Roman" w:eastAsia="Times New Roman" w:hAnsi="Times New Roman" w:cs="Times New Roman"/>
          <w:color w:val="000000"/>
          <w:sz w:val="24"/>
          <w:szCs w:val="24"/>
          <w:lang w:eastAsia="it-IT"/>
        </w:rPr>
        <w:t xml:space="preserve"> </w:t>
      </w:r>
      <w:r w:rsidRPr="00D97C24">
        <w:rPr>
          <w:rFonts w:ascii="Times New Roman" w:eastAsia="Times New Roman" w:hAnsi="Times New Roman" w:cs="Times New Roman"/>
          <w:color w:val="000000"/>
          <w:sz w:val="24"/>
          <w:szCs w:val="24"/>
          <w:lang w:eastAsia="it-IT"/>
        </w:rPr>
        <w:t>L’accoglimento di una concezione oggettiva si ha con il codice del 1942, come emerge dalla Relazione del Guardasigilli, al punto n. 613, dove si legge che </w:t>
      </w:r>
      <w:r w:rsidRPr="00FC75F7">
        <w:rPr>
          <w:rFonts w:ascii="Times New Roman" w:eastAsia="Times New Roman" w:hAnsi="Times New Roman" w:cs="Times New Roman"/>
          <w:i/>
          <w:iCs/>
          <w:color w:val="000000"/>
          <w:sz w:val="24"/>
          <w:szCs w:val="24"/>
          <w:lang w:eastAsia="it-IT"/>
        </w:rPr>
        <w:t>“la causa non è lo scopo soggettivo perseguito dal contraente nel caso concreto (…) ma la funzione economico-sociale che il diritto riconosce rilevante ai suoi fini e che giustifica la tutela dell’autonomia privata”</w:t>
      </w:r>
      <w:r w:rsidRPr="00D97C24">
        <w:rPr>
          <w:rFonts w:ascii="Times New Roman" w:eastAsia="Times New Roman" w:hAnsi="Times New Roman" w:cs="Times New Roman"/>
          <w:color w:val="000000"/>
          <w:sz w:val="24"/>
          <w:szCs w:val="24"/>
          <w:lang w:eastAsia="it-IT"/>
        </w:rPr>
        <w:t xml:space="preserve">. </w:t>
      </w:r>
      <w:r w:rsidRPr="00D97C24">
        <w:rPr>
          <w:rFonts w:ascii="Times New Roman" w:eastAsia="Times New Roman" w:hAnsi="Times New Roman" w:cs="Times New Roman"/>
          <w:color w:val="000000"/>
          <w:sz w:val="24"/>
          <w:szCs w:val="24"/>
          <w:lang w:eastAsia="it-IT"/>
        </w:rPr>
        <w:lastRenderedPageBreak/>
        <w:t>In quest’ottica è allora agevole distinguerla dai motivi, non a caso autonomamente disciplinati dall’art. 1345 c.c. Si afferma così la c.d. causa astratta, quale funzione economico-sociale.</w:t>
      </w:r>
    </w:p>
    <w:p w:rsidR="00D97C24" w:rsidRPr="00D97C24"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D97C24">
        <w:rPr>
          <w:rFonts w:ascii="Times New Roman" w:eastAsia="Times New Roman" w:hAnsi="Times New Roman" w:cs="Times New Roman"/>
          <w:color w:val="000000"/>
          <w:sz w:val="24"/>
          <w:szCs w:val="24"/>
          <w:lang w:eastAsia="it-IT"/>
        </w:rPr>
        <w:t>Allora, posto che i contratti tipici sono quelli disciplinati dalla legge, essi hanno tutti una causa, la c.d. causa tipica, sicché il problema non potrà porsi nel senso di mancanza di causa ma, eventualmente, nel senso di concreta realizzabilità della stessa (tipico esempio è quello di chi acquista una cosa già sua). L’ipotesi di mancanza di causa potrà invece porsi con riferimento ai contratti innominati, tanto è vero che l’art. 1322 comma 2 c.c. impone al giudice di valutare la meritevolezza di tutela degli interessi perseguiti dalle parti, ossia se sussista o meno la c.d. causa atipica, controllo giudiziario che si pone come limite all’autonomia contrattuale</w:t>
      </w:r>
      <w:r w:rsidRPr="00FC75F7">
        <w:rPr>
          <w:rFonts w:ascii="Times New Roman" w:eastAsia="Times New Roman" w:hAnsi="Times New Roman" w:cs="Times New Roman"/>
          <w:color w:val="000000"/>
          <w:sz w:val="24"/>
          <w:szCs w:val="24"/>
          <w:lang w:eastAsia="it-IT"/>
        </w:rPr>
        <w:t>.</w:t>
      </w:r>
      <w:r w:rsidRPr="00D97C24">
        <w:rPr>
          <w:rFonts w:ascii="Times New Roman" w:eastAsia="Times New Roman" w:hAnsi="Times New Roman" w:cs="Times New Roman"/>
          <w:color w:val="000000"/>
          <w:sz w:val="24"/>
          <w:szCs w:val="24"/>
          <w:lang w:eastAsia="it-IT"/>
        </w:rPr>
        <w:t xml:space="preserve"> La definizione codicistica, che funzionalizzava l’autonomia privata alla realizzazione dei fini superiori dell’ordinamento, fu elaborata da Betti, il quale affermava addirittura la nullità dei contratti socialmente futili. La teoria in esame, ancorché prevalente in giurisprudenza, fu sottoposta a diverse critiche, per essere frutto dell’idea dirigista propria dell’ideologia fascista, per comportare la sovrapposizione tra causa e tipo, per non rendere configurabile un contratto tipico con causa illecita nonché per differenziare il controllo funzionale a seconda della natura tipica o atipica del contratto. Per queste ragioni parte della dottrina concluse nel senso della necessità di porre l’attenzione sulla funzione pratica che le parti hanno assegnato al contratto, poiché ad ogni rapporto contrattuale sono sempre sottesi gli interessi reali delle parti. Così Ferri elaborò il concetto della c.d. causa concreta, quale funzione economico-individuale, ossia concreta composizione di contrapposti interessi che vengono contestualmente soddisfatti mediante l’operazione contrattuale. Benché questa consista nella sintesi degli interessi che il contratto è diretto a realizzare, così come ivi oggettivati, si assottiglia nuovamente il </w:t>
      </w:r>
      <w:r w:rsidRPr="00FC75F7">
        <w:rPr>
          <w:rFonts w:ascii="Times New Roman" w:eastAsia="Times New Roman" w:hAnsi="Times New Roman" w:cs="Times New Roman"/>
          <w:i/>
          <w:iCs/>
          <w:color w:val="000000"/>
          <w:sz w:val="24"/>
          <w:szCs w:val="24"/>
          <w:lang w:eastAsia="it-IT"/>
        </w:rPr>
        <w:t>discrimen</w:t>
      </w:r>
      <w:r w:rsidRPr="00D97C24">
        <w:rPr>
          <w:rFonts w:ascii="Times New Roman" w:eastAsia="Times New Roman" w:hAnsi="Times New Roman" w:cs="Times New Roman"/>
          <w:color w:val="000000"/>
          <w:sz w:val="24"/>
          <w:szCs w:val="24"/>
          <w:lang w:eastAsia="it-IT"/>
        </w:rPr>
        <w:t> con i motivi, quali moventi individuali che spingono il soggetto a contrarre.</w:t>
      </w:r>
      <w:r w:rsidR="00FC75F7" w:rsidRPr="00FC75F7">
        <w:rPr>
          <w:rFonts w:ascii="Times New Roman" w:eastAsia="Times New Roman" w:hAnsi="Times New Roman" w:cs="Times New Roman"/>
          <w:color w:val="000000"/>
          <w:sz w:val="24"/>
          <w:szCs w:val="24"/>
          <w:lang w:eastAsia="it-IT"/>
        </w:rPr>
        <w:t xml:space="preserve"> </w:t>
      </w:r>
      <w:r w:rsidRPr="00D97C24">
        <w:rPr>
          <w:rFonts w:ascii="Times New Roman" w:eastAsia="Times New Roman" w:hAnsi="Times New Roman" w:cs="Times New Roman"/>
          <w:color w:val="000000"/>
          <w:sz w:val="24"/>
          <w:szCs w:val="24"/>
          <w:lang w:eastAsia="it-IT"/>
        </w:rPr>
        <w:t>Rispetto alle elaborazioni dottrinali sul punto, risalenti agli anni Settanta, la giurisprudenza si dimostrò prudente e scostante, anche se si segnala già al tempo qualche pronuncia rivolta, seppur timidamente, ad un’apertura. Si legge, ad esempio, che </w:t>
      </w:r>
      <w:r w:rsidRPr="00FC75F7">
        <w:rPr>
          <w:rFonts w:ascii="Times New Roman" w:eastAsia="Times New Roman" w:hAnsi="Times New Roman" w:cs="Times New Roman"/>
          <w:i/>
          <w:iCs/>
          <w:color w:val="000000"/>
          <w:sz w:val="24"/>
          <w:szCs w:val="24"/>
          <w:lang w:eastAsia="it-IT"/>
        </w:rPr>
        <w:t>“non ripudiandosi il concetto astratto ed obiettivo di causa come funzione economico-sociale del negozio (…) deve però ammettersi che tale funzione non deve rimanere nel limite dell’astrattezza, ma deve essere presente anche nel contratto concretamente posto in essere: quest’ultimo cioè deve avere una funzione concreta, obiettiva”</w:t>
      </w:r>
      <w:r w:rsidRPr="00D97C24">
        <w:rPr>
          <w:rFonts w:ascii="Times New Roman" w:eastAsia="Times New Roman" w:hAnsi="Times New Roman" w:cs="Times New Roman"/>
          <w:color w:val="000000"/>
          <w:sz w:val="24"/>
          <w:szCs w:val="24"/>
          <w:lang w:eastAsia="it-IT"/>
        </w:rPr>
        <w:t>.</w:t>
      </w:r>
      <w:r w:rsidR="00FC75F7" w:rsidRPr="00FC75F7">
        <w:rPr>
          <w:rFonts w:ascii="Times New Roman" w:eastAsia="Times New Roman" w:hAnsi="Times New Roman" w:cs="Times New Roman"/>
          <w:color w:val="000000"/>
          <w:sz w:val="24"/>
          <w:szCs w:val="24"/>
          <w:lang w:eastAsia="it-IT"/>
        </w:rPr>
        <w:t xml:space="preserve"> </w:t>
      </w:r>
      <w:r w:rsidRPr="00D97C24">
        <w:rPr>
          <w:rFonts w:ascii="Times New Roman" w:eastAsia="Times New Roman" w:hAnsi="Times New Roman" w:cs="Times New Roman"/>
          <w:color w:val="000000"/>
          <w:sz w:val="24"/>
          <w:szCs w:val="24"/>
          <w:lang w:eastAsia="it-IT"/>
        </w:rPr>
        <w:t>Il vero e proprio riconoscimento della teoria della causa in concreto si ebbe solo con la sentenza della Corte di Cassazione n. 10490/2006, che ha riconosciuto</w:t>
      </w:r>
      <w:r w:rsidRPr="00FC75F7">
        <w:rPr>
          <w:rFonts w:ascii="Times New Roman" w:eastAsia="Times New Roman" w:hAnsi="Times New Roman" w:cs="Times New Roman"/>
          <w:color w:val="000000"/>
          <w:sz w:val="24"/>
          <w:szCs w:val="24"/>
          <w:lang w:eastAsia="it-IT"/>
        </w:rPr>
        <w:t xml:space="preserve"> </w:t>
      </w:r>
      <w:r w:rsidRPr="00D97C24">
        <w:rPr>
          <w:rFonts w:ascii="Times New Roman" w:eastAsia="Times New Roman" w:hAnsi="Times New Roman" w:cs="Times New Roman"/>
          <w:color w:val="000000"/>
          <w:sz w:val="24"/>
          <w:szCs w:val="24"/>
          <w:lang w:eastAsia="it-IT"/>
        </w:rPr>
        <w:t>la necessità di elaborare </w:t>
      </w:r>
      <w:r w:rsidRPr="00FC75F7">
        <w:rPr>
          <w:rFonts w:ascii="Times New Roman" w:eastAsia="Times New Roman" w:hAnsi="Times New Roman" w:cs="Times New Roman"/>
          <w:i/>
          <w:iCs/>
          <w:color w:val="000000"/>
          <w:sz w:val="24"/>
          <w:szCs w:val="24"/>
          <w:lang w:eastAsia="it-IT"/>
        </w:rPr>
        <w:t>“un’ermeneutica del concetto di causa che, sul presupposto della obsolescenza della matrice ideologica che configura la causa del contratto come strumento di controllo della sua utilità sociale, affonda le proprie radici in una serrata critica della teoria della predeterminazione causale del negozio (che, a tacer d’altro, non spiega come un contratto tipico possa avere causa illecita), ricostruendo tale elemento in termini di sintesi degli interessi reali che il contratto stesso è diretto a realizzare (al di là del modello, anche tipico, adoperato)”</w:t>
      </w:r>
      <w:r w:rsidRPr="00D97C24">
        <w:rPr>
          <w:rFonts w:ascii="Times New Roman" w:eastAsia="Times New Roman" w:hAnsi="Times New Roman" w:cs="Times New Roman"/>
          <w:color w:val="000000"/>
          <w:sz w:val="24"/>
          <w:szCs w:val="24"/>
          <w:lang w:eastAsia="it-IT"/>
        </w:rPr>
        <w:t>. Non si abbandona, dunque, l’ottica funzionale, ma la si rivolge alla dimensione individuale del singolo contratto e all’uso che le parti hanno voluto fare del contratto stesso, ancorché tipico.</w:t>
      </w:r>
    </w:p>
    <w:p w:rsidR="00D97C24" w:rsidRPr="00D97C24"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D97C24">
        <w:rPr>
          <w:rFonts w:ascii="Times New Roman" w:eastAsia="Times New Roman" w:hAnsi="Times New Roman" w:cs="Times New Roman"/>
          <w:color w:val="000000"/>
          <w:sz w:val="24"/>
          <w:szCs w:val="24"/>
          <w:lang w:eastAsia="it-IT"/>
        </w:rPr>
        <w:t>Negli ultimi anni la concezione di causa in concreto ha trovato sempre più spazio nell’applicazione giurisprudenziale.</w:t>
      </w:r>
    </w:p>
    <w:p w:rsidR="00D97C24" w:rsidRPr="00D97C24"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D97C24">
        <w:rPr>
          <w:rFonts w:ascii="Times New Roman" w:eastAsia="Times New Roman" w:hAnsi="Times New Roman" w:cs="Times New Roman"/>
          <w:color w:val="000000"/>
          <w:sz w:val="24"/>
          <w:szCs w:val="24"/>
          <w:lang w:eastAsia="it-IT"/>
        </w:rPr>
        <w:t xml:space="preserve">All’indomani della sentenza n. 10490/2006, rilevanti implicazioni si sono manifestate in tema di contratti di viaggio. È stato infatti rilevato che, con riferimento al contratto di “pacchetto turistico </w:t>
      </w:r>
      <w:r w:rsidRPr="00D97C24">
        <w:rPr>
          <w:rFonts w:ascii="Times New Roman" w:eastAsia="Times New Roman" w:hAnsi="Times New Roman" w:cs="Times New Roman"/>
          <w:color w:val="000000"/>
          <w:sz w:val="24"/>
          <w:szCs w:val="24"/>
          <w:lang w:eastAsia="it-IT"/>
        </w:rPr>
        <w:lastRenderedPageBreak/>
        <w:t>tutto compreso”, la finalità turistica ne costituisce la causa concreta e non un mero motivo, come tale irrilevante. Di conseguenza, l’impossibilità sopravvenuta dell’elemento funzionale comporta l’irrealizzabilità della causa concreta del contratto, determinandone l’estinzione.</w:t>
      </w:r>
    </w:p>
    <w:p w:rsidR="00D97C24" w:rsidRPr="00D97C24"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D97C24">
        <w:rPr>
          <w:rFonts w:ascii="Times New Roman" w:eastAsia="Times New Roman" w:hAnsi="Times New Roman" w:cs="Times New Roman"/>
          <w:color w:val="000000"/>
          <w:sz w:val="24"/>
          <w:szCs w:val="24"/>
          <w:lang w:eastAsia="it-IT"/>
        </w:rPr>
        <w:t>Ulteriore applicazione riguarda il concordato preventivo, strumento che permette all’imprenditore in crisi o in stato di insolvenza di accordarsi con i creditori al fine di evitare la dichiarazione di fallimento. Tale accordo, di natura privatistica, è oggetto di un giudizio di omologazione da parte del giudice. Ed è proprio al fine di delimitare tali poteri del Tribunale che le Sezioni Unite hanno ripreso la causa in concreto, affermando che </w:t>
      </w:r>
      <w:r w:rsidRPr="00FC75F7">
        <w:rPr>
          <w:rFonts w:ascii="Times New Roman" w:eastAsia="Times New Roman" w:hAnsi="Times New Roman" w:cs="Times New Roman"/>
          <w:i/>
          <w:iCs/>
          <w:color w:val="000000"/>
          <w:sz w:val="24"/>
          <w:szCs w:val="24"/>
          <w:lang w:eastAsia="it-IT"/>
        </w:rPr>
        <w:t>“il controllo di legittimità (…) si attua verificandosene l’effettiva realizzabilità della causa concreta (…) da intendersi come obiettivo specifico perseguito dal procedimento”</w:t>
      </w:r>
      <w:r w:rsidRPr="00D97C24">
        <w:rPr>
          <w:rFonts w:ascii="Times New Roman" w:eastAsia="Times New Roman" w:hAnsi="Times New Roman" w:cs="Times New Roman"/>
          <w:color w:val="000000"/>
          <w:sz w:val="24"/>
          <w:szCs w:val="24"/>
          <w:lang w:eastAsia="it-IT"/>
        </w:rPr>
        <w:t>.</w:t>
      </w:r>
    </w:p>
    <w:p w:rsidR="00D97C24" w:rsidRPr="00D97C24"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D97C24">
        <w:rPr>
          <w:rFonts w:ascii="Times New Roman" w:eastAsia="Times New Roman" w:hAnsi="Times New Roman" w:cs="Times New Roman"/>
          <w:color w:val="000000"/>
          <w:sz w:val="24"/>
          <w:szCs w:val="24"/>
          <w:lang w:eastAsia="it-IT"/>
        </w:rPr>
        <w:t>È nota, poi, la recente pronuncia in tema di contratto preliminare di preliminare. L’impostazione tradizionale ne affermava la nullità per mancanza di causa, ritenendo che non fosse meritevole di tutela l’interesse di obbligarsi ad obbligarsi. La Cassazione a Sezioni Unite</w:t>
      </w:r>
      <w:r w:rsidRPr="00FC75F7">
        <w:rPr>
          <w:rFonts w:ascii="Times New Roman" w:eastAsia="Times New Roman" w:hAnsi="Times New Roman" w:cs="Times New Roman"/>
          <w:color w:val="000000"/>
          <w:sz w:val="24"/>
          <w:szCs w:val="24"/>
          <w:lang w:eastAsia="it-IT"/>
        </w:rPr>
        <w:t xml:space="preserve"> </w:t>
      </w:r>
      <w:r w:rsidRPr="00D97C24">
        <w:rPr>
          <w:rFonts w:ascii="Times New Roman" w:eastAsia="Times New Roman" w:hAnsi="Times New Roman" w:cs="Times New Roman"/>
          <w:color w:val="000000"/>
          <w:sz w:val="24"/>
          <w:szCs w:val="24"/>
          <w:lang w:eastAsia="it-IT"/>
        </w:rPr>
        <w:t>ha invece ribaltato questo orientamento, evidenziando come l’indagine relativa alla causa concreta serva anche quale criterio di qualificazione del contratto. Pertanto, il preliminare di preliminare è valido ed efficace </w:t>
      </w:r>
      <w:r w:rsidRPr="00FC75F7">
        <w:rPr>
          <w:rFonts w:ascii="Times New Roman" w:eastAsia="Times New Roman" w:hAnsi="Times New Roman" w:cs="Times New Roman"/>
          <w:i/>
          <w:iCs/>
          <w:color w:val="000000"/>
          <w:sz w:val="24"/>
          <w:szCs w:val="24"/>
          <w:lang w:eastAsia="it-IT"/>
        </w:rPr>
        <w:t>“ove sia configurabile un interesse delle parti, meritevole di tutela, ad una formazione progressiva del contratto, fondata su una differenziazione dei contenuti negoziali, e sia identificabile la più ristretta area del regolamento di interessi coperta dal vincolo negoziale originato dal primo preliminare”</w:t>
      </w:r>
      <w:r w:rsidRPr="00D97C24">
        <w:rPr>
          <w:rFonts w:ascii="Times New Roman" w:eastAsia="Times New Roman" w:hAnsi="Times New Roman" w:cs="Times New Roman"/>
          <w:color w:val="000000"/>
          <w:sz w:val="24"/>
          <w:szCs w:val="24"/>
          <w:lang w:eastAsia="it-IT"/>
        </w:rPr>
        <w:t>.</w:t>
      </w:r>
    </w:p>
    <w:p w:rsidR="005A4B2D" w:rsidRPr="00FC75F7" w:rsidRDefault="00D97C24" w:rsidP="00FC75F7">
      <w:pPr>
        <w:spacing w:after="315" w:line="315" w:lineRule="atLeast"/>
        <w:jc w:val="both"/>
        <w:rPr>
          <w:rFonts w:ascii="Times New Roman" w:eastAsia="Times New Roman" w:hAnsi="Times New Roman" w:cs="Times New Roman"/>
          <w:color w:val="000000"/>
          <w:sz w:val="24"/>
          <w:szCs w:val="24"/>
          <w:lang w:eastAsia="it-IT"/>
        </w:rPr>
      </w:pPr>
      <w:r w:rsidRPr="00D97C24">
        <w:rPr>
          <w:rFonts w:ascii="Times New Roman" w:eastAsia="Times New Roman" w:hAnsi="Times New Roman" w:cs="Times New Roman"/>
          <w:color w:val="000000"/>
          <w:sz w:val="24"/>
          <w:szCs w:val="24"/>
          <w:lang w:eastAsia="it-IT"/>
        </w:rPr>
        <w:t>La causa in concreto è stata richiamata dalla giurisprudenza di legittimità anche per valutare la compatibilità delle alienazioni a scopo di garanzia con il divieto di patto commissorio. In particolare, in tema di contratto di </w:t>
      </w:r>
      <w:r w:rsidRPr="00FC75F7">
        <w:rPr>
          <w:rFonts w:ascii="Times New Roman" w:eastAsia="Times New Roman" w:hAnsi="Times New Roman" w:cs="Times New Roman"/>
          <w:i/>
          <w:iCs/>
          <w:color w:val="000000"/>
          <w:sz w:val="24"/>
          <w:szCs w:val="24"/>
          <w:lang w:eastAsia="it-IT"/>
        </w:rPr>
        <w:t>sale and lease back</w:t>
      </w:r>
      <w:r w:rsidRPr="00D97C24">
        <w:rPr>
          <w:rFonts w:ascii="Times New Roman" w:eastAsia="Times New Roman" w:hAnsi="Times New Roman" w:cs="Times New Roman"/>
          <w:color w:val="000000"/>
          <w:sz w:val="24"/>
          <w:szCs w:val="24"/>
          <w:lang w:eastAsia="it-IT"/>
        </w:rPr>
        <w:t>, la Suprema Corte</w:t>
      </w:r>
      <w:r w:rsidRPr="00FC75F7">
        <w:rPr>
          <w:rFonts w:ascii="Times New Roman" w:eastAsia="Times New Roman" w:hAnsi="Times New Roman" w:cs="Times New Roman"/>
          <w:color w:val="000000"/>
          <w:sz w:val="24"/>
          <w:szCs w:val="24"/>
          <w:lang w:eastAsia="it-IT"/>
        </w:rPr>
        <w:t xml:space="preserve"> </w:t>
      </w:r>
      <w:r w:rsidRPr="00D97C24">
        <w:rPr>
          <w:rFonts w:ascii="Times New Roman" w:eastAsia="Times New Roman" w:hAnsi="Times New Roman" w:cs="Times New Roman"/>
          <w:color w:val="000000"/>
          <w:sz w:val="24"/>
          <w:szCs w:val="24"/>
          <w:lang w:eastAsia="it-IT"/>
        </w:rPr>
        <w:t>ha ritenuto che lo stesso sia nullo per illiceità della causa in concreto solo ove vi sia una violazione del divieto di patto commissorio, violazione esclusa qualora le parti abbiano inserito nel contratto il c.d. patto marciano, volto a ristabilire il sinallagma contrattuale tra le prestazioni grazie alla restituzione dell’importo eccedente l’entità del credito al debitore. Invero, fino a che si rientri nei limiti di cui agli artt. 2744 e 1963 c.c., non esiste un generale divieto di stipulare negozi atipici che trasferiscano la proprietà con funzione di garanzia.</w:t>
      </w:r>
    </w:p>
    <w:sectPr w:rsidR="005A4B2D" w:rsidRPr="00FC75F7">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1B6" w:rsidRDefault="009551B6" w:rsidP="00D97C24">
      <w:pPr>
        <w:spacing w:after="0" w:line="240" w:lineRule="auto"/>
      </w:pPr>
      <w:r>
        <w:separator/>
      </w:r>
    </w:p>
  </w:endnote>
  <w:endnote w:type="continuationSeparator" w:id="0">
    <w:p w:rsidR="009551B6" w:rsidRDefault="009551B6" w:rsidP="00D9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657799"/>
      <w:docPartObj>
        <w:docPartGallery w:val="Page Numbers (Bottom of Page)"/>
        <w:docPartUnique/>
      </w:docPartObj>
    </w:sdtPr>
    <w:sdtEndPr/>
    <w:sdtContent>
      <w:p w:rsidR="00D97C24" w:rsidRDefault="00D97C24">
        <w:pPr>
          <w:pStyle w:val="Pidipagina"/>
          <w:jc w:val="right"/>
        </w:pPr>
        <w:r>
          <w:fldChar w:fldCharType="begin"/>
        </w:r>
        <w:r>
          <w:instrText>PAGE   \* MERGEFORMAT</w:instrText>
        </w:r>
        <w:r>
          <w:fldChar w:fldCharType="separate"/>
        </w:r>
        <w:r w:rsidR="00922CD5">
          <w:rPr>
            <w:noProof/>
          </w:rPr>
          <w:t>2</w:t>
        </w:r>
        <w:r>
          <w:fldChar w:fldCharType="end"/>
        </w:r>
      </w:p>
    </w:sdtContent>
  </w:sdt>
  <w:p w:rsidR="00D97C24" w:rsidRDefault="00D97C2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1B6" w:rsidRDefault="009551B6" w:rsidP="00D97C24">
      <w:pPr>
        <w:spacing w:after="0" w:line="240" w:lineRule="auto"/>
      </w:pPr>
      <w:r>
        <w:separator/>
      </w:r>
    </w:p>
  </w:footnote>
  <w:footnote w:type="continuationSeparator" w:id="0">
    <w:p w:rsidR="009551B6" w:rsidRDefault="009551B6" w:rsidP="00D97C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24"/>
    <w:rsid w:val="002603E0"/>
    <w:rsid w:val="005A4B2D"/>
    <w:rsid w:val="00922CD5"/>
    <w:rsid w:val="009551B6"/>
    <w:rsid w:val="00A277EE"/>
    <w:rsid w:val="00AD5388"/>
    <w:rsid w:val="00D97C24"/>
    <w:rsid w:val="00FC7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93B40-0249-4CBE-918A-463C6060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D97C2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97C24"/>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D97C24"/>
    <w:rPr>
      <w:b/>
      <w:bCs/>
    </w:rPr>
  </w:style>
  <w:style w:type="paragraph" w:styleId="NormaleWeb">
    <w:name w:val="Normal (Web)"/>
    <w:basedOn w:val="Normale"/>
    <w:uiPriority w:val="99"/>
    <w:semiHidden/>
    <w:unhideWhenUsed/>
    <w:rsid w:val="00D97C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97C24"/>
    <w:rPr>
      <w:i/>
      <w:iCs/>
    </w:rPr>
  </w:style>
  <w:style w:type="character" w:styleId="Collegamentoipertestuale">
    <w:name w:val="Hyperlink"/>
    <w:basedOn w:val="Carpredefinitoparagrafo"/>
    <w:uiPriority w:val="99"/>
    <w:semiHidden/>
    <w:unhideWhenUsed/>
    <w:rsid w:val="00D97C24"/>
    <w:rPr>
      <w:color w:val="0000FF"/>
      <w:u w:val="single"/>
    </w:rPr>
  </w:style>
  <w:style w:type="paragraph" w:styleId="Intestazione">
    <w:name w:val="header"/>
    <w:basedOn w:val="Normale"/>
    <w:link w:val="IntestazioneCarattere"/>
    <w:uiPriority w:val="99"/>
    <w:unhideWhenUsed/>
    <w:rsid w:val="00D97C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7C24"/>
  </w:style>
  <w:style w:type="paragraph" w:styleId="Pidipagina">
    <w:name w:val="footer"/>
    <w:basedOn w:val="Normale"/>
    <w:link w:val="PidipaginaCarattere"/>
    <w:uiPriority w:val="99"/>
    <w:unhideWhenUsed/>
    <w:rsid w:val="00D97C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1497</Words>
  <Characters>8535</Characters>
  <Application>Microsoft Office Word</Application>
  <DocSecurity>4</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Lorenzetti Alessandra</cp:lastModifiedBy>
  <cp:revision>2</cp:revision>
  <dcterms:created xsi:type="dcterms:W3CDTF">2018-04-05T06:31:00Z</dcterms:created>
  <dcterms:modified xsi:type="dcterms:W3CDTF">2018-04-05T06:31:00Z</dcterms:modified>
</cp:coreProperties>
</file>